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5BBA" w14:textId="6273FC91" w:rsidR="00AE38CF" w:rsidRPr="00AE38CF" w:rsidRDefault="00AE38CF" w:rsidP="00F368E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38CF">
        <w:rPr>
          <w:rFonts w:asciiTheme="minorHAnsi" w:hAnsiTheme="minorHAnsi" w:cstheme="minorHAnsi"/>
          <w:b/>
          <w:bCs/>
          <w:sz w:val="28"/>
          <w:szCs w:val="28"/>
        </w:rPr>
        <w:t>MÁSTER EN DIRECCIÓN DE EMPRESAS</w:t>
      </w:r>
    </w:p>
    <w:p w14:paraId="06DA9A70" w14:textId="2D6D3A3D" w:rsidR="00F368E5" w:rsidRPr="00AE38CF" w:rsidRDefault="00F368E5" w:rsidP="00F368E5">
      <w:pPr>
        <w:jc w:val="center"/>
        <w:rPr>
          <w:rFonts w:asciiTheme="minorHAnsi" w:hAnsiTheme="minorHAnsi" w:cstheme="minorHAnsi"/>
          <w:sz w:val="28"/>
          <w:szCs w:val="28"/>
        </w:rPr>
      </w:pPr>
      <w:r w:rsidRPr="00AE38CF">
        <w:rPr>
          <w:rFonts w:asciiTheme="minorHAnsi" w:hAnsiTheme="minorHAnsi" w:cstheme="minorHAnsi"/>
          <w:b/>
          <w:bCs/>
          <w:sz w:val="28"/>
          <w:szCs w:val="28"/>
        </w:rPr>
        <w:t>CONVOCATORIAS EXÁMENES CURSO 20</w:t>
      </w:r>
      <w:r w:rsidR="00E81046" w:rsidRPr="00AE38C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E3C0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AE38CF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693614" w:rsidRPr="00AE38C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E3C04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tbl>
      <w:tblPr>
        <w:tblW w:w="0" w:type="auto"/>
        <w:jc w:val="center"/>
        <w:tblBorders>
          <w:top w:val="outset" w:sz="6" w:space="0" w:color="E0DCDC"/>
          <w:left w:val="outset" w:sz="6" w:space="0" w:color="E0DCDC"/>
          <w:bottom w:val="outset" w:sz="6" w:space="0" w:color="E0DCDC"/>
          <w:right w:val="outset" w:sz="6" w:space="0" w:color="E0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097"/>
        <w:gridCol w:w="1186"/>
        <w:gridCol w:w="1378"/>
        <w:gridCol w:w="1419"/>
      </w:tblGrid>
      <w:tr w:rsidR="00DD055B" w:rsidRPr="00AE38CF" w14:paraId="50FD2C0F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36A92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CONVOCATORIA </w:t>
            </w:r>
          </w:p>
          <w:p w14:paraId="7FFC1922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EXÁMENES 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D331A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Primera convocatoria ordinaria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6C39F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Llamamiento especial</w:t>
            </w:r>
          </w:p>
          <w:p w14:paraId="1B9A698B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AAACC1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(*)</w:t>
            </w:r>
          </w:p>
          <w:p w14:paraId="2EE04E10" w14:textId="3FD8AFE5" w:rsidR="00AE38CF" w:rsidRPr="00AE38CF" w:rsidRDefault="00AE38CF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E28C3" w14:textId="5DEED7F9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Segunda convocatoria ordinaria</w:t>
            </w:r>
          </w:p>
          <w:p w14:paraId="79EEA324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2F5A845" w14:textId="7D8383BA" w:rsidR="00DD055B" w:rsidRPr="00AE38CF" w:rsidRDefault="00BE3C04" w:rsidP="00967BE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septiembre de 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53336" w14:textId="77777777" w:rsidR="00DD055B" w:rsidRPr="00AE38CF" w:rsidRDefault="00DD055B" w:rsidP="00BB6F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Convocatoria extraordinaria</w:t>
            </w:r>
          </w:p>
          <w:p w14:paraId="04621358" w14:textId="77777777" w:rsidR="00DD055B" w:rsidRPr="00AE38CF" w:rsidRDefault="00DD055B" w:rsidP="00AE38C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8CC8B9" w14:textId="5CA6B183" w:rsidR="00DD055B" w:rsidRPr="00AE38CF" w:rsidRDefault="00BE3C04" w:rsidP="00BB6F3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dic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iembre de 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DD055B" w:rsidRPr="00AE38CF" w14:paraId="6D6C29D3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026E6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Fundamentos de Economía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10B2B" w14:textId="6374FCE4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  <w:highlight w:val="yellow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noviembre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F676C1" w14:textId="468720AB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diciembre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61A47" w14:textId="6E1F9726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B15B1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27C4C6ED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D6DAC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Habilidades Directivas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56095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  <w:highlight w:val="yellow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Sistema de evaluación sin examen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856A3A9" w14:textId="3274D18C" w:rsidR="00DD055B" w:rsidRPr="00AE38CF" w:rsidRDefault="00BE3C04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enero de 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7330E" w14:textId="26369DF6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E94E7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231C37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E2998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8E8E39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F31106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E0F7CF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8F97F1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57EE2EE6" w14:textId="77777777" w:rsidTr="00DD055B">
        <w:trPr>
          <w:trHeight w:val="399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04BC9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Estratégica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481E" w14:textId="692556E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  <w:highlight w:val="yellow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enero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97FF25" w14:textId="44C9BA6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enero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38889" w14:textId="4ED15433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996E2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318D4AF4" w14:textId="77777777" w:rsidTr="00DD055B">
        <w:trPr>
          <w:trHeight w:val="808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A07E1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de Recursos Humanos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D2E7C" w14:textId="31CCBC98" w:rsidR="00DD055B" w:rsidRPr="00AE38CF" w:rsidRDefault="00B5677E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febrero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(online) 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23C0562" w14:textId="294229AE" w:rsidR="00DD055B" w:rsidRPr="00AE38CF" w:rsidRDefault="00D66472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febrero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D2C87" w14:textId="15240762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21CF3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1D1D0E91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140B8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de Marketing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C90A9" w14:textId="2CE269F5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marzo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21DE292" w14:textId="4077D097" w:rsidR="00DD055B" w:rsidRPr="00AE38CF" w:rsidRDefault="00BE3C04" w:rsidP="006936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DD055B"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abril de 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A66779D" w14:textId="73A73EB7" w:rsidR="00DD055B" w:rsidRPr="00AE38CF" w:rsidRDefault="00DD055B" w:rsidP="006936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807A22C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7E5272F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39064343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49801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de Operaciones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85B91" w14:textId="6B999D9F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  <w:highlight w:val="yellow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abril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9F15CDB" w14:textId="734D855F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abril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6ADB798" w14:textId="7F89F10C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692DF8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B153E5D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2D00F212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F3F9A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Finanzas Empresariales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7BDC1" w14:textId="7DA46FFB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mayo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A0041FF" w14:textId="5DBDFB5B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mayo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A47618A" w14:textId="6B84355E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75CF77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5A4C406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0074BE25" w14:textId="77777777" w:rsidTr="00DD055B">
        <w:trPr>
          <w:trHeight w:val="84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378DA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Información Contable y Toma de Decisiones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14A4" w14:textId="0555F538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junio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A5E7170" w14:textId="30246C2F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junio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C34C26C" w14:textId="06F0AE61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F13AA30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5B" w:rsidRPr="00AE38CF" w14:paraId="2AED710D" w14:textId="77777777" w:rsidTr="00DD055B">
        <w:trPr>
          <w:trHeight w:val="630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F4897" w14:textId="77777777" w:rsidR="00DD055B" w:rsidRPr="00AE38CF" w:rsidRDefault="00DD055B" w:rsidP="00967BE7">
            <w:pPr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Metodologías y Líneas de Investigación para la dirección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096B4" w14:textId="05C054E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6A6A6A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junio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9B16A" w14:textId="25EA8CF9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AE3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junio de 202</w:t>
            </w:r>
            <w:r w:rsidR="00BE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27889" w14:textId="7432CA59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76C250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0946CA" w14:textId="77777777" w:rsidR="00DD055B" w:rsidRPr="00AE38CF" w:rsidRDefault="00DD055B" w:rsidP="00967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216C601" w14:textId="77777777" w:rsidR="00F368E5" w:rsidRPr="00AE38CF" w:rsidRDefault="00F368E5" w:rsidP="00150C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6FF788" w14:textId="296D79A4" w:rsidR="00FF7986" w:rsidRPr="00AE38CF" w:rsidRDefault="00DD055B" w:rsidP="00FF79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(*) </w:t>
      </w:r>
      <w:r w:rsidR="00FF7986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llamamiento especial está regulado por el </w:t>
      </w:r>
      <w:r w:rsidR="00075F15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>Reglamento de Evaluación de los alumnos de la Universidad de Cádiz (</w:t>
      </w:r>
      <w:hyperlink r:id="rId5" w:history="1">
        <w:r w:rsidR="00075F15" w:rsidRPr="00AE38CF">
          <w:rPr>
            <w:rStyle w:val="Hipervnculo"/>
            <w:rFonts w:asciiTheme="minorHAnsi" w:hAnsiTheme="minorHAnsi" w:cstheme="minorHAnsi"/>
            <w:sz w:val="22"/>
            <w:szCs w:val="22"/>
          </w:rPr>
          <w:t>https://atencionalumnado.uca.es/wp-content/uploads/2018/05/Reglamento-de-Evaluacion.pdf?u</w:t>
        </w:r>
      </w:hyperlink>
      <w:r w:rsidR="00075F15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299AA883" w14:textId="77777777" w:rsidR="00075F15" w:rsidRPr="00AE38CF" w:rsidRDefault="00075F15" w:rsidP="00FF79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9B438C" w14:textId="6F2F5C18" w:rsidR="00FF7986" w:rsidRPr="00AE38CF" w:rsidRDefault="00FF7986" w:rsidP="00AE38C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>Los alumnos de máster pueden solicitarlo única y exclusivamente en los casos siguientes</w:t>
      </w:r>
      <w:r w:rsidR="00075F15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y </w:t>
      </w:r>
      <w:r w:rsid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siempre </w:t>
      </w:r>
      <w:r w:rsidR="00075F15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 72 horas de antelación a la fecha del examen </w:t>
      </w:r>
      <w:r w:rsidR="00AE38CF">
        <w:rPr>
          <w:rFonts w:asciiTheme="minorHAnsi" w:hAnsiTheme="minorHAnsi" w:cstheme="minorHAnsi"/>
          <w:color w:val="000000" w:themeColor="text1"/>
          <w:sz w:val="22"/>
          <w:szCs w:val="22"/>
        </w:rPr>
        <w:t>para e</w:t>
      </w:r>
      <w:r w:rsidR="00075F15"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que </w:t>
      </w:r>
      <w:r w:rsidR="00AE38CF">
        <w:rPr>
          <w:rFonts w:asciiTheme="minorHAnsi" w:hAnsiTheme="minorHAnsi" w:cstheme="minorHAnsi"/>
          <w:color w:val="000000" w:themeColor="text1"/>
          <w:sz w:val="22"/>
          <w:szCs w:val="22"/>
        </w:rPr>
        <w:t>soliciten el llamamiento especial</w:t>
      </w:r>
      <w:r w:rsidRPr="00AE38C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5B14516" w14:textId="77777777" w:rsidR="00FF7986" w:rsidRPr="00AE38CF" w:rsidRDefault="00FF7986" w:rsidP="00AE38CF">
      <w:pPr>
        <w:numPr>
          <w:ilvl w:val="0"/>
          <w:numId w:val="1"/>
        </w:numPr>
        <w:shd w:val="clear" w:color="auto" w:fill="FFFFFF"/>
        <w:spacing w:before="100" w:beforeAutospacing="1" w:after="105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Estudiantes que, por motivos de </w:t>
      </w:r>
      <w:r w:rsidRPr="00AE38CF">
        <w:rPr>
          <w:rStyle w:val="Textoennegrita"/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representación en órganos colegiados de la Universidad de Cádiz</w:t>
      </w:r>
      <w:r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 no puedan examinarse en la fecha señalada al efecto.</w:t>
      </w:r>
    </w:p>
    <w:p w14:paraId="0CB43F00" w14:textId="5412ED80" w:rsidR="00FF7986" w:rsidRPr="00AE38CF" w:rsidRDefault="00FF7986" w:rsidP="00AE38CF">
      <w:pPr>
        <w:numPr>
          <w:ilvl w:val="0"/>
          <w:numId w:val="1"/>
        </w:numPr>
        <w:shd w:val="clear" w:color="auto" w:fill="FFFFFF"/>
        <w:spacing w:before="100" w:beforeAutospacing="1" w:after="105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lastRenderedPageBreak/>
        <w:t>En caso de </w:t>
      </w:r>
      <w:r w:rsidRPr="00AE38CF">
        <w:rPr>
          <w:rStyle w:val="Textoennegrita"/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enfermedad </w:t>
      </w:r>
      <w:r w:rsidR="00075F15" w:rsidRPr="00AE38CF">
        <w:rPr>
          <w:rStyle w:val="Textoennegrita"/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grave </w:t>
      </w:r>
      <w:r w:rsidRPr="00AE38CF">
        <w:rPr>
          <w:rStyle w:val="Textoennegrita"/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 otro motivo grave</w:t>
      </w:r>
      <w:r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 debidamente justificado </w:t>
      </w:r>
      <w:r w:rsidR="00075F15"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con certificado médico</w:t>
      </w:r>
      <w:r w:rsidR="00D57D25"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 w:rsidR="00075F15"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o documentación oficial suficiente. En el caso de enfermedad </w:t>
      </w:r>
      <w:r w:rsidR="00D57D25"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grave </w:t>
      </w:r>
      <w:r w:rsidR="00075F15" w:rsidRPr="00AE38C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sobrevenida no será de aplicación el plazo de 72 horas de antelación.</w:t>
      </w:r>
    </w:p>
    <w:p w14:paraId="4AE605E2" w14:textId="77777777" w:rsidR="00AE38CF" w:rsidRDefault="00AE38CF" w:rsidP="00FF7986">
      <w:pPr>
        <w:rPr>
          <w:rFonts w:asciiTheme="minorHAnsi" w:hAnsiTheme="minorHAnsi" w:cstheme="minorHAnsi"/>
          <w:sz w:val="22"/>
          <w:szCs w:val="22"/>
        </w:rPr>
      </w:pPr>
    </w:p>
    <w:p w14:paraId="6EB6FCBC" w14:textId="2A79F6A6" w:rsidR="00F368E5" w:rsidRPr="00AE38CF" w:rsidRDefault="00AE38CF" w:rsidP="003E1C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(**) En el </w:t>
      </w:r>
      <w:r w:rsidR="003E1C78">
        <w:rPr>
          <w:rFonts w:asciiTheme="minorHAnsi" w:hAnsiTheme="minorHAnsi" w:cstheme="minorHAnsi"/>
          <w:sz w:val="22"/>
          <w:szCs w:val="22"/>
        </w:rPr>
        <w:t xml:space="preserve">caso de existir solicitudes aprobadas para un llamamiento especial, en el </w:t>
      </w:r>
      <w:r>
        <w:rPr>
          <w:rFonts w:asciiTheme="minorHAnsi" w:hAnsiTheme="minorHAnsi" w:cstheme="minorHAnsi"/>
          <w:sz w:val="22"/>
          <w:szCs w:val="22"/>
        </w:rPr>
        <w:t>Campus Virtual de</w:t>
      </w:r>
      <w:r w:rsidR="003E1C78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curso</w:t>
      </w:r>
      <w:r w:rsidR="003E1C78">
        <w:rPr>
          <w:rFonts w:asciiTheme="minorHAnsi" w:hAnsiTheme="minorHAnsi" w:cstheme="minorHAnsi"/>
          <w:sz w:val="22"/>
          <w:szCs w:val="22"/>
        </w:rPr>
        <w:t xml:space="preserve"> del máster que corresponda,</w:t>
      </w:r>
      <w:r>
        <w:rPr>
          <w:rFonts w:asciiTheme="minorHAnsi" w:hAnsiTheme="minorHAnsi" w:cstheme="minorHAnsi"/>
          <w:sz w:val="22"/>
          <w:szCs w:val="22"/>
        </w:rPr>
        <w:t xml:space="preserve"> se indicará la forma de evaluación de ese llamamiento especial</w:t>
      </w:r>
      <w:r w:rsidR="003E1C78">
        <w:rPr>
          <w:rFonts w:asciiTheme="minorHAnsi" w:hAnsiTheme="minorHAnsi" w:cstheme="minorHAnsi"/>
          <w:sz w:val="22"/>
          <w:szCs w:val="22"/>
        </w:rPr>
        <w:t>, que puede ser un examen, la entrega de trabajos o cualquier otra forma de evaluación contemplada en la memoria del máster.</w:t>
      </w:r>
      <w:r w:rsidR="00F368E5" w:rsidRPr="00AE38CF">
        <w:rPr>
          <w:rFonts w:asciiTheme="minorHAnsi" w:hAnsiTheme="minorHAnsi" w:cstheme="minorHAnsi"/>
          <w:sz w:val="22"/>
          <w:szCs w:val="22"/>
        </w:rPr>
        <w:br w:type="page"/>
      </w:r>
    </w:p>
    <w:p w14:paraId="7C8CFA19" w14:textId="77777777" w:rsidR="003E1C78" w:rsidRDefault="00150C2A" w:rsidP="00150C2A">
      <w:pPr>
        <w:jc w:val="center"/>
        <w:rPr>
          <w:b/>
          <w:bCs/>
          <w:sz w:val="28"/>
          <w:szCs w:val="28"/>
        </w:rPr>
      </w:pPr>
      <w:r w:rsidRPr="00BF759C">
        <w:rPr>
          <w:b/>
          <w:bCs/>
          <w:sz w:val="28"/>
          <w:szCs w:val="28"/>
        </w:rPr>
        <w:lastRenderedPageBreak/>
        <w:t xml:space="preserve">CONVOCATORIAS ENTREGA Y DEFENSA DE TFM y TI </w:t>
      </w:r>
      <w:r w:rsidR="00F368E5">
        <w:rPr>
          <w:b/>
          <w:bCs/>
          <w:sz w:val="28"/>
          <w:szCs w:val="28"/>
        </w:rPr>
        <w:t xml:space="preserve"> </w:t>
      </w:r>
    </w:p>
    <w:p w14:paraId="7D0AB98B" w14:textId="6D4E02B1" w:rsidR="00150C2A" w:rsidRPr="00BF759C" w:rsidRDefault="00F368E5" w:rsidP="00150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CURSO 20</w:t>
      </w:r>
      <w:r w:rsidR="00267DF7">
        <w:rPr>
          <w:b/>
          <w:bCs/>
          <w:sz w:val="28"/>
          <w:szCs w:val="28"/>
        </w:rPr>
        <w:t>2</w:t>
      </w:r>
      <w:r w:rsidR="003C49B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693614">
        <w:rPr>
          <w:b/>
          <w:bCs/>
          <w:sz w:val="28"/>
          <w:szCs w:val="28"/>
        </w:rPr>
        <w:t>2</w:t>
      </w:r>
      <w:r w:rsidR="003C49B2">
        <w:rPr>
          <w:b/>
          <w:bCs/>
          <w:sz w:val="28"/>
          <w:szCs w:val="28"/>
        </w:rPr>
        <w:t>4</w:t>
      </w:r>
    </w:p>
    <w:p w14:paraId="1F7D1670" w14:textId="77777777" w:rsidR="00E81046" w:rsidRDefault="00E81046" w:rsidP="00E81046">
      <w:pPr>
        <w:jc w:val="center"/>
        <w:rPr>
          <w:b/>
        </w:rPr>
      </w:pPr>
    </w:p>
    <w:p w14:paraId="7B42E8C7" w14:textId="696686E0" w:rsidR="00977C11" w:rsidRDefault="00E81046" w:rsidP="00977C11">
      <w:pPr>
        <w:jc w:val="center"/>
        <w:rPr>
          <w:b/>
        </w:rPr>
      </w:pPr>
      <w:r w:rsidRPr="00E81046">
        <w:rPr>
          <w:b/>
        </w:rPr>
        <w:t>La entrega de TFM definitivos, una vez aceptados por el tutor, se realiza a través del Campus Virtual de la Coordinación del Máster en Dirección de Empresas</w:t>
      </w:r>
      <w:r w:rsidR="00D57D25">
        <w:rPr>
          <w:b/>
        </w:rPr>
        <w:t>, siguiendo las instrucciones que se indican en el mismo Campus Virtual</w:t>
      </w:r>
      <w:r w:rsidRPr="00E81046">
        <w:rPr>
          <w:b/>
        </w:rPr>
        <w:t>.</w:t>
      </w:r>
    </w:p>
    <w:p w14:paraId="4C559437" w14:textId="77777777" w:rsidR="00D57D25" w:rsidRPr="00977C11" w:rsidRDefault="00D57D25" w:rsidP="00977C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5374"/>
      </w:tblGrid>
      <w:tr w:rsidR="003C52E2" w:rsidRPr="00BF759C" w14:paraId="5F1A818E" w14:textId="77777777" w:rsidTr="003C52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A82" w14:textId="3D672EA1" w:rsidR="003C52E2" w:rsidRPr="00BF759C" w:rsidRDefault="003C52E2" w:rsidP="00445891">
            <w:pPr>
              <w:jc w:val="center"/>
              <w:rPr>
                <w:b/>
              </w:rPr>
            </w:pPr>
            <w:r w:rsidRPr="00BF759C">
              <w:rPr>
                <w:b/>
              </w:rPr>
              <w:t>CONVOCATORIA EXTRAORDINARIA</w:t>
            </w:r>
            <w:r>
              <w:rPr>
                <w:b/>
              </w:rPr>
              <w:t xml:space="preserve"> DICIEMBRE 202</w:t>
            </w:r>
            <w:r w:rsidR="003C49B2">
              <w:rPr>
                <w:b/>
              </w:rPr>
              <w:t>3</w:t>
            </w:r>
          </w:p>
        </w:tc>
      </w:tr>
      <w:tr w:rsidR="003C52E2" w:rsidRPr="00BF759C" w14:paraId="04B47EEB" w14:textId="77777777" w:rsidTr="003C52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6BF" w14:textId="77777777" w:rsidR="003C52E2" w:rsidRPr="003C52E2" w:rsidRDefault="003C52E2" w:rsidP="003C52E2">
            <w:pPr>
              <w:jc w:val="center"/>
              <w:rPr>
                <w:b/>
              </w:rPr>
            </w:pPr>
            <w:r w:rsidRPr="003C52E2">
              <w:rPr>
                <w:b/>
              </w:rPr>
              <w:t>La Convocatoria extraordinaria se llevará a cabo en el mes de diciembre. Exige cumplir los requisitos establecidos, y supone el pago de los créditos por segunda matriculación</w:t>
            </w:r>
          </w:p>
        </w:tc>
      </w:tr>
      <w:tr w:rsidR="003C49B2" w:rsidRPr="00BF759C" w14:paraId="2EC742A5" w14:textId="77777777" w:rsidTr="004458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352" w14:textId="4D3FB689" w:rsidR="003C49B2" w:rsidRPr="00BF759C" w:rsidRDefault="003C49B2" w:rsidP="003C49B2">
            <w:r>
              <w:t>15</w:t>
            </w:r>
            <w:r w:rsidRPr="00BF759C">
              <w:t xml:space="preserve"> de noviembre de 20</w:t>
            </w:r>
            <w: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23D" w14:textId="77777777" w:rsidR="003C49B2" w:rsidRPr="00BF759C" w:rsidRDefault="003C49B2" w:rsidP="003C49B2">
            <w:r w:rsidRPr="00BF759C">
              <w:t>Entrega de TFM y TI al tutor académico</w:t>
            </w:r>
          </w:p>
        </w:tc>
      </w:tr>
      <w:tr w:rsidR="003C49B2" w:rsidRPr="00BF759C" w14:paraId="246B6289" w14:textId="77777777" w:rsidTr="004458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E88" w14:textId="638A46CD" w:rsidR="003C49B2" w:rsidRPr="00BF759C" w:rsidRDefault="003C49B2" w:rsidP="003C49B2">
            <w:r>
              <w:t>28</w:t>
            </w:r>
            <w:r w:rsidRPr="00BF759C">
              <w:t xml:space="preserve"> de </w:t>
            </w:r>
            <w:r>
              <w:t>nov</w:t>
            </w:r>
            <w:r w:rsidRPr="00BF759C">
              <w:t>iembre de 20</w:t>
            </w:r>
            <w: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20A" w14:textId="77777777" w:rsidR="003C49B2" w:rsidRPr="00BF759C" w:rsidRDefault="003C49B2" w:rsidP="003C49B2">
            <w:r w:rsidRPr="00BF759C">
              <w:t>Entrega de la versión final del TFM y TI a secretaría del centro y coordinador del máster</w:t>
            </w:r>
          </w:p>
          <w:p w14:paraId="58DCA9CF" w14:textId="77777777" w:rsidR="003C49B2" w:rsidRPr="00BF759C" w:rsidRDefault="003C49B2" w:rsidP="003C49B2">
            <w:r w:rsidRPr="00BF759C">
              <w:t>Entrega de los tutores académicos al coordinador del máster de la Guía de Evaluación de los TFM y TI</w:t>
            </w:r>
          </w:p>
        </w:tc>
      </w:tr>
      <w:tr w:rsidR="003C49B2" w:rsidRPr="00BF759C" w14:paraId="23FEE253" w14:textId="77777777" w:rsidTr="004458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0AB" w14:textId="6BA94E45" w:rsidR="003C49B2" w:rsidRPr="00BF759C" w:rsidRDefault="003C49B2" w:rsidP="003C49B2">
            <w:r>
              <w:t>11</w:t>
            </w:r>
            <w:r w:rsidRPr="00BF759C">
              <w:t xml:space="preserve"> de diciembre de 20</w:t>
            </w:r>
            <w: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439" w14:textId="77777777" w:rsidR="003C49B2" w:rsidRPr="00BF759C" w:rsidRDefault="003C49B2" w:rsidP="003C49B2">
            <w:r w:rsidRPr="00BF759C">
              <w:t xml:space="preserve">Defensa de los TFM y TI ante las comisiones evaluadoras </w:t>
            </w:r>
          </w:p>
        </w:tc>
      </w:tr>
    </w:tbl>
    <w:p w14:paraId="711CD971" w14:textId="77777777" w:rsidR="00977C11" w:rsidRPr="00945DED" w:rsidRDefault="00977C11" w:rsidP="00977C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* Según el Reglamento por el que se regula el Régimen de Evaluación de los alumnos de la</w:t>
      </w:r>
    </w:p>
    <w:p w14:paraId="7ACEADEC" w14:textId="77777777" w:rsidR="00977C11" w:rsidRPr="00945DED" w:rsidRDefault="00977C11" w:rsidP="00977C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Universidad de Cádiz, para presentar el TFM en la convocatoria extraordinaria de diciembre es</w:t>
      </w:r>
    </w:p>
    <w:p w14:paraId="65F329E6" w14:textId="44DC13C9" w:rsidR="00977C11" w:rsidRPr="00945DED" w:rsidRDefault="00977C11" w:rsidP="00977C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necesario: (i) haber estado matriculado en la asignatura TFM en el curso 20</w:t>
      </w:r>
      <w:r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2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/202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3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; (</w:t>
      </w:r>
      <w:proofErr w:type="spellStart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ii</w:t>
      </w:r>
      <w:proofErr w:type="spellEnd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) estar</w:t>
      </w:r>
    </w:p>
    <w:p w14:paraId="3C9B3D70" w14:textId="28333E16" w:rsidR="00977C11" w:rsidRPr="00945DED" w:rsidRDefault="00977C11" w:rsidP="00977C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matriculado del TFM en el curso 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3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/202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4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 xml:space="preserve"> y, (</w:t>
      </w:r>
      <w:proofErr w:type="spellStart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iii</w:t>
      </w:r>
      <w:proofErr w:type="spellEnd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) que el estudiante solicite expresamente su</w:t>
      </w:r>
    </w:p>
    <w:p w14:paraId="2A90C635" w14:textId="77777777" w:rsidR="00977C11" w:rsidRPr="00945DED" w:rsidRDefault="00977C11" w:rsidP="00977C11">
      <w:pPr>
        <w:rPr>
          <w:rFonts w:asciiTheme="minorHAnsi" w:hAnsiTheme="minorHAnsi" w:cstheme="minorHAnsi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derecho a examen en la primera quincena de noviembre a través de la Secretaría.</w:t>
      </w:r>
    </w:p>
    <w:p w14:paraId="7CCA3282" w14:textId="77777777" w:rsidR="003C52E2" w:rsidRDefault="003C5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5374"/>
      </w:tblGrid>
      <w:tr w:rsidR="00766A18" w:rsidRPr="00BF759C" w14:paraId="5B57F504" w14:textId="77777777" w:rsidTr="00A12B4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7DF" w14:textId="3708DD1D" w:rsidR="00766A18" w:rsidRPr="00BF759C" w:rsidRDefault="00766A18" w:rsidP="00A12B4A">
            <w:pPr>
              <w:jc w:val="center"/>
              <w:rPr>
                <w:b/>
              </w:rPr>
            </w:pPr>
            <w:r w:rsidRPr="00BF759C">
              <w:rPr>
                <w:b/>
              </w:rPr>
              <w:t>CONVOCATORIA EXTRAORDINARIA</w:t>
            </w:r>
            <w:r>
              <w:rPr>
                <w:b/>
              </w:rPr>
              <w:t xml:space="preserve"> FEBRERO 202</w:t>
            </w:r>
            <w:r w:rsidR="003C49B2">
              <w:rPr>
                <w:b/>
              </w:rPr>
              <w:t>4</w:t>
            </w:r>
            <w:r w:rsidR="00743E9B">
              <w:rPr>
                <w:b/>
              </w:rPr>
              <w:t xml:space="preserve"> </w:t>
            </w:r>
          </w:p>
        </w:tc>
      </w:tr>
      <w:tr w:rsidR="00766A18" w:rsidRPr="00BF759C" w14:paraId="6050BAAD" w14:textId="77777777" w:rsidTr="00A12B4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FCC" w14:textId="7F7A5FA3" w:rsidR="00766A18" w:rsidRPr="00BF759C" w:rsidRDefault="00766A18" w:rsidP="00A12B4A"/>
        </w:tc>
      </w:tr>
      <w:tr w:rsidR="00766A18" w:rsidRPr="00BF759C" w14:paraId="5739F2CA" w14:textId="77777777" w:rsidTr="00A12B4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953" w14:textId="2DCE0044" w:rsidR="00766A18" w:rsidRPr="00BF759C" w:rsidRDefault="00087DDE" w:rsidP="00A12B4A">
            <w:r>
              <w:t>15</w:t>
            </w:r>
            <w:r w:rsidR="00766A18" w:rsidRPr="00BF759C">
              <w:t xml:space="preserve"> de </w:t>
            </w:r>
            <w:proofErr w:type="spellStart"/>
            <w:r w:rsidR="00AA5BC5">
              <w:t>enero</w:t>
            </w:r>
            <w:r w:rsidR="00766A18" w:rsidRPr="00BF759C">
              <w:t xml:space="preserve"> de 20</w:t>
            </w:r>
            <w:r w:rsidR="00766A18">
              <w:t>2</w:t>
            </w:r>
            <w:proofErr w:type="spellEnd"/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CE6" w14:textId="77777777" w:rsidR="00766A18" w:rsidRPr="00BF759C" w:rsidRDefault="00766A18" w:rsidP="00A12B4A">
            <w:r w:rsidRPr="00BF759C">
              <w:t>Entrega de TFM y TI al tutor académico</w:t>
            </w:r>
          </w:p>
        </w:tc>
      </w:tr>
      <w:tr w:rsidR="00766A18" w:rsidRPr="00BF759C" w14:paraId="597F53B9" w14:textId="77777777" w:rsidTr="00A12B4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40D" w14:textId="5F5838DF" w:rsidR="00766A18" w:rsidRPr="00BF759C" w:rsidRDefault="00087DDE" w:rsidP="00A12B4A">
            <w:r>
              <w:t>25</w:t>
            </w:r>
            <w:r w:rsidR="001A2540">
              <w:t xml:space="preserve"> </w:t>
            </w:r>
            <w:r w:rsidR="00766A18" w:rsidRPr="00BF759C">
              <w:t xml:space="preserve">de </w:t>
            </w:r>
            <w:r>
              <w:t>enero</w:t>
            </w:r>
            <w:r w:rsidR="00766A18" w:rsidRPr="00BF759C">
              <w:t xml:space="preserve"> de 20</w:t>
            </w:r>
            <w:r w:rsidR="00766A18">
              <w:t>2</w:t>
            </w: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A4E" w14:textId="77777777" w:rsidR="00766A18" w:rsidRPr="00BF759C" w:rsidRDefault="00766A18" w:rsidP="00A12B4A">
            <w:r w:rsidRPr="00BF759C">
              <w:t>Entrega de la versión final del TFM y TI a secretaría del centro y coordinador del máster</w:t>
            </w:r>
          </w:p>
          <w:p w14:paraId="1F7B552D" w14:textId="77777777" w:rsidR="00766A18" w:rsidRPr="00BF759C" w:rsidRDefault="00766A18" w:rsidP="00A12B4A">
            <w:r w:rsidRPr="00BF759C">
              <w:t>Entrega de los tutores académicos al coordinador del máster de la Guía de Evaluación de los TFM y TI</w:t>
            </w:r>
          </w:p>
        </w:tc>
      </w:tr>
      <w:tr w:rsidR="00766A18" w:rsidRPr="00BF759C" w14:paraId="5DDB7427" w14:textId="77777777" w:rsidTr="00A12B4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C7" w14:textId="20B59197" w:rsidR="00766A18" w:rsidRPr="00BF759C" w:rsidRDefault="00087DDE" w:rsidP="00A12B4A">
            <w:r>
              <w:t>2</w:t>
            </w:r>
            <w:r w:rsidR="00766A18" w:rsidRPr="00BF759C">
              <w:t xml:space="preserve"> de </w:t>
            </w:r>
            <w:r>
              <w:t>febrero</w:t>
            </w:r>
            <w:r w:rsidR="00766A18" w:rsidRPr="00BF759C">
              <w:t xml:space="preserve"> de 20</w:t>
            </w:r>
            <w:r w:rsidR="00766A18">
              <w:t>2</w:t>
            </w: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23B" w14:textId="77777777" w:rsidR="00766A18" w:rsidRPr="00BF759C" w:rsidRDefault="00766A18" w:rsidP="00A12B4A">
            <w:r w:rsidRPr="00BF759C">
              <w:t xml:space="preserve">Defensa de los TFM y TI ante las comisiones evaluadoras </w:t>
            </w:r>
          </w:p>
        </w:tc>
      </w:tr>
    </w:tbl>
    <w:p w14:paraId="3291DB4D" w14:textId="750B7C59" w:rsidR="000D15E5" w:rsidRPr="00125AA0" w:rsidRDefault="000D15E5" w:rsidP="000D15E5">
      <w:pPr>
        <w:rPr>
          <w:rFonts w:asciiTheme="minorHAnsi" w:hAnsiTheme="minorHAnsi" w:cstheme="minorHAnsi"/>
          <w:sz w:val="20"/>
          <w:szCs w:val="20"/>
        </w:rPr>
      </w:pPr>
      <w:r w:rsidRPr="00125AA0">
        <w:rPr>
          <w:rFonts w:asciiTheme="minorHAnsi" w:hAnsiTheme="minorHAnsi" w:cstheme="minorHAnsi"/>
          <w:sz w:val="20"/>
          <w:szCs w:val="20"/>
        </w:rPr>
        <w:t>* Para presentar el TFM en la convocatoria de febrero es necesario: (i) haber estado matriculado en la asignatura TFM en el curso 20</w:t>
      </w:r>
      <w:r w:rsidR="001A2540" w:rsidRPr="00125AA0">
        <w:rPr>
          <w:rFonts w:asciiTheme="minorHAnsi" w:hAnsiTheme="minorHAnsi" w:cstheme="minorHAnsi"/>
          <w:sz w:val="20"/>
          <w:szCs w:val="20"/>
        </w:rPr>
        <w:t>2</w:t>
      </w:r>
      <w:r w:rsidR="00087DDE">
        <w:rPr>
          <w:rFonts w:asciiTheme="minorHAnsi" w:hAnsiTheme="minorHAnsi" w:cstheme="minorHAnsi"/>
          <w:sz w:val="20"/>
          <w:szCs w:val="20"/>
        </w:rPr>
        <w:t>2</w:t>
      </w:r>
      <w:r w:rsidRPr="00125AA0">
        <w:rPr>
          <w:rFonts w:asciiTheme="minorHAnsi" w:hAnsiTheme="minorHAnsi" w:cstheme="minorHAnsi"/>
          <w:sz w:val="20"/>
          <w:szCs w:val="20"/>
        </w:rPr>
        <w:t>/202</w:t>
      </w:r>
      <w:r w:rsidR="00087DDE">
        <w:rPr>
          <w:rFonts w:asciiTheme="minorHAnsi" w:hAnsiTheme="minorHAnsi" w:cstheme="minorHAnsi"/>
          <w:sz w:val="20"/>
          <w:szCs w:val="20"/>
        </w:rPr>
        <w:t>3</w:t>
      </w:r>
      <w:r w:rsidRPr="00125AA0">
        <w:rPr>
          <w:rFonts w:asciiTheme="minorHAnsi" w:hAnsiTheme="minorHAnsi" w:cstheme="minorHAnsi"/>
          <w:sz w:val="20"/>
          <w:szCs w:val="20"/>
        </w:rPr>
        <w:t>; y, (</w:t>
      </w:r>
      <w:proofErr w:type="spellStart"/>
      <w:r w:rsidRPr="00125AA0">
        <w:rPr>
          <w:rFonts w:asciiTheme="minorHAnsi" w:hAnsiTheme="minorHAnsi" w:cstheme="minorHAnsi"/>
          <w:sz w:val="20"/>
          <w:szCs w:val="20"/>
        </w:rPr>
        <w:t>ii</w:t>
      </w:r>
      <w:proofErr w:type="spellEnd"/>
      <w:r w:rsidRPr="00125AA0">
        <w:rPr>
          <w:rFonts w:asciiTheme="minorHAnsi" w:hAnsiTheme="minorHAnsi" w:cstheme="minorHAnsi"/>
          <w:sz w:val="20"/>
          <w:szCs w:val="20"/>
        </w:rPr>
        <w:t>) estar matriculado del TFM en el curso 202</w:t>
      </w:r>
      <w:r w:rsidR="00087DDE">
        <w:rPr>
          <w:rFonts w:asciiTheme="minorHAnsi" w:hAnsiTheme="minorHAnsi" w:cstheme="minorHAnsi"/>
          <w:sz w:val="20"/>
          <w:szCs w:val="20"/>
        </w:rPr>
        <w:t>3</w:t>
      </w:r>
      <w:r w:rsidRPr="00125AA0">
        <w:rPr>
          <w:rFonts w:asciiTheme="minorHAnsi" w:hAnsiTheme="minorHAnsi" w:cstheme="minorHAnsi"/>
          <w:sz w:val="20"/>
          <w:szCs w:val="20"/>
        </w:rPr>
        <w:t>/202</w:t>
      </w:r>
      <w:r w:rsidR="00087DDE">
        <w:rPr>
          <w:rFonts w:asciiTheme="minorHAnsi" w:hAnsiTheme="minorHAnsi" w:cstheme="minorHAnsi"/>
          <w:sz w:val="20"/>
          <w:szCs w:val="20"/>
        </w:rPr>
        <w:t>4</w:t>
      </w:r>
      <w:r w:rsidRPr="00125AA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618EE6D" w14:textId="1F9977FF" w:rsidR="00C34CBA" w:rsidRDefault="00C34CBA" w:rsidP="00C5459C">
      <w:pPr>
        <w:rPr>
          <w:rFonts w:asciiTheme="minorHAnsi" w:hAnsiTheme="minorHAnsi" w:cstheme="minorHAnsi"/>
        </w:rPr>
      </w:pPr>
    </w:p>
    <w:p w14:paraId="5D9D3080" w14:textId="725A878C" w:rsidR="00C34CBA" w:rsidRDefault="00C34CBA" w:rsidP="00C5459C">
      <w:pPr>
        <w:rPr>
          <w:rFonts w:asciiTheme="minorHAnsi" w:hAnsiTheme="minorHAnsi" w:cstheme="minorHAnsi"/>
        </w:rPr>
      </w:pPr>
    </w:p>
    <w:p w14:paraId="160EF907" w14:textId="77777777" w:rsidR="00C34CBA" w:rsidRPr="00C5459C" w:rsidRDefault="00C34CBA" w:rsidP="00C5459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2"/>
        <w:gridCol w:w="5382"/>
      </w:tblGrid>
      <w:tr w:rsidR="00150C2A" w:rsidRPr="00BF759C" w14:paraId="424D9BAB" w14:textId="77777777" w:rsidTr="00333B4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914" w14:textId="77777777" w:rsidR="00150C2A" w:rsidRPr="00BF759C" w:rsidRDefault="00150C2A" w:rsidP="00333B4F">
            <w:pPr>
              <w:jc w:val="center"/>
              <w:rPr>
                <w:b/>
              </w:rPr>
            </w:pPr>
            <w:r w:rsidRPr="00BF759C">
              <w:rPr>
                <w:b/>
              </w:rPr>
              <w:t>PRIMERA CONVOCATORIA ORDINARIA</w:t>
            </w:r>
          </w:p>
        </w:tc>
      </w:tr>
      <w:tr w:rsidR="00150C2A" w:rsidRPr="00BF759C" w14:paraId="71EBCED3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C13" w14:textId="22774F09" w:rsidR="00150C2A" w:rsidRPr="00BF759C" w:rsidRDefault="00F60A98" w:rsidP="00333B4F">
            <w:r>
              <w:t>1</w:t>
            </w:r>
            <w:r w:rsidR="003C49B2">
              <w:t>9</w:t>
            </w:r>
            <w:r w:rsidR="00150C2A" w:rsidRPr="00BF759C">
              <w:t xml:space="preserve"> de</w:t>
            </w:r>
            <w:r w:rsidR="007D18E2">
              <w:t xml:space="preserve"> ju</w:t>
            </w:r>
            <w:r w:rsidR="00DC350A">
              <w:t>n</w:t>
            </w:r>
            <w:r w:rsidR="007D18E2">
              <w:t>io</w:t>
            </w:r>
            <w:r w:rsidR="00150C2A" w:rsidRPr="00BF759C">
              <w:t xml:space="preserve"> </w:t>
            </w:r>
            <w:r w:rsidR="00DC350A">
              <w:t xml:space="preserve">de </w:t>
            </w:r>
            <w:r w:rsidR="00150C2A" w:rsidRPr="00BF759C">
              <w:t>20</w:t>
            </w:r>
            <w:r w:rsidR="00DC350A">
              <w:t>2</w:t>
            </w:r>
            <w:r w:rsidR="003C49B2"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D49" w14:textId="77777777" w:rsidR="00150C2A" w:rsidRPr="00BF759C" w:rsidRDefault="00150C2A" w:rsidP="00333B4F">
            <w:r w:rsidRPr="00BF759C">
              <w:t>Entrega de TFM/TI al tutor académico</w:t>
            </w:r>
          </w:p>
        </w:tc>
      </w:tr>
      <w:tr w:rsidR="00150C2A" w:rsidRPr="00BF759C" w14:paraId="2BBF4D93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587" w14:textId="4DB9E221" w:rsidR="00150C2A" w:rsidRPr="00BF759C" w:rsidRDefault="003C49B2" w:rsidP="00333B4F">
            <w:r>
              <w:t>28</w:t>
            </w:r>
            <w:r w:rsidR="00150C2A">
              <w:t xml:space="preserve"> de ju</w:t>
            </w:r>
            <w:r w:rsidR="00267DF7">
              <w:t>n</w:t>
            </w:r>
            <w:r w:rsidR="00150C2A">
              <w:t>io</w:t>
            </w:r>
            <w:r w:rsidR="00150C2A" w:rsidRPr="00BF759C">
              <w:t xml:space="preserve"> de 20</w:t>
            </w:r>
            <w:r w:rsidR="00DC350A">
              <w:t>2</w:t>
            </w:r>
            <w: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611" w14:textId="77777777" w:rsidR="00150C2A" w:rsidRPr="00BF759C" w:rsidRDefault="00150C2A" w:rsidP="00333B4F">
            <w:r w:rsidRPr="00BF759C">
              <w:t>Entrega de los tutores académicos al coordinador del máster de la Guía de Evaluación de los TFM y TI</w:t>
            </w:r>
          </w:p>
          <w:p w14:paraId="068EB4EB" w14:textId="77777777" w:rsidR="00150C2A" w:rsidRPr="00BF759C" w:rsidRDefault="00150C2A" w:rsidP="00333B4F">
            <w:r w:rsidRPr="00BF759C">
              <w:t>Entrega de la versión final del TFM y TI a secretaría del centro y coordinador del máster</w:t>
            </w:r>
          </w:p>
        </w:tc>
      </w:tr>
      <w:tr w:rsidR="00150C2A" w:rsidRPr="00BF759C" w14:paraId="174CFA65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EB3" w14:textId="021EE783" w:rsidR="00150C2A" w:rsidRPr="00BF759C" w:rsidRDefault="003C49B2" w:rsidP="00333B4F">
            <w:r>
              <w:t>9</w:t>
            </w:r>
            <w:r w:rsidR="00875136">
              <w:t xml:space="preserve"> y </w:t>
            </w:r>
            <w:r w:rsidR="00F60A98">
              <w:t>1</w:t>
            </w:r>
            <w:r>
              <w:t>0</w:t>
            </w:r>
            <w:r w:rsidR="005D32C4">
              <w:t xml:space="preserve"> de julio</w:t>
            </w:r>
            <w:r w:rsidR="00DC350A">
              <w:t xml:space="preserve"> de</w:t>
            </w:r>
            <w:r w:rsidR="005D32C4">
              <w:t xml:space="preserve"> 20</w:t>
            </w:r>
            <w:r w:rsidR="00DC350A">
              <w:t>2</w:t>
            </w:r>
            <w: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21D" w14:textId="77777777" w:rsidR="00150C2A" w:rsidRPr="00BF759C" w:rsidRDefault="00150C2A" w:rsidP="00333B4F">
            <w:r w:rsidRPr="00BF759C">
              <w:t xml:space="preserve">Defensa de los TFM y TI ante las comisiones evaluadoras </w:t>
            </w:r>
          </w:p>
        </w:tc>
      </w:tr>
    </w:tbl>
    <w:p w14:paraId="3D12DE7D" w14:textId="57743C10" w:rsidR="00E81046" w:rsidRDefault="00E81046" w:rsidP="00A576FC">
      <w:pPr>
        <w:rPr>
          <w:b/>
          <w:bCs/>
          <w:sz w:val="28"/>
          <w:szCs w:val="28"/>
        </w:rPr>
      </w:pPr>
    </w:p>
    <w:p w14:paraId="21310655" w14:textId="70CCC085" w:rsidR="00C34CBA" w:rsidRDefault="00C34CBA" w:rsidP="00A576FC">
      <w:pPr>
        <w:rPr>
          <w:b/>
          <w:bCs/>
          <w:sz w:val="28"/>
          <w:szCs w:val="28"/>
        </w:rPr>
      </w:pPr>
    </w:p>
    <w:p w14:paraId="7A029FC1" w14:textId="51B7AF9D" w:rsidR="00C34CBA" w:rsidRDefault="00C34CBA" w:rsidP="00A576FC">
      <w:pPr>
        <w:rPr>
          <w:b/>
          <w:bCs/>
          <w:sz w:val="28"/>
          <w:szCs w:val="28"/>
        </w:rPr>
      </w:pPr>
    </w:p>
    <w:p w14:paraId="0ED907A9" w14:textId="77777777" w:rsidR="00C34CBA" w:rsidRPr="00BF759C" w:rsidRDefault="00C34CBA" w:rsidP="00A576F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1"/>
        <w:gridCol w:w="5373"/>
      </w:tblGrid>
      <w:tr w:rsidR="00150C2A" w:rsidRPr="00BF759C" w14:paraId="2B6F0063" w14:textId="77777777" w:rsidTr="00333B4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8E4" w14:textId="77777777" w:rsidR="00150C2A" w:rsidRPr="00BF759C" w:rsidRDefault="00150C2A" w:rsidP="00333B4F">
            <w:pPr>
              <w:jc w:val="center"/>
              <w:rPr>
                <w:b/>
              </w:rPr>
            </w:pPr>
            <w:r w:rsidRPr="00BF759C">
              <w:rPr>
                <w:b/>
              </w:rPr>
              <w:t>SEGUNDA CONVOCATORIA ORDINARIA</w:t>
            </w:r>
          </w:p>
        </w:tc>
      </w:tr>
      <w:tr w:rsidR="00150C2A" w:rsidRPr="00BF759C" w14:paraId="42028B1B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A39" w14:textId="64A3F87C" w:rsidR="00150C2A" w:rsidRPr="00BF759C" w:rsidRDefault="003C49B2" w:rsidP="00333B4F">
            <w:r>
              <w:t>2</w:t>
            </w:r>
            <w:r w:rsidR="00150C2A">
              <w:t xml:space="preserve"> de septiembre</w:t>
            </w:r>
            <w:r w:rsidR="00150C2A" w:rsidRPr="00BF759C">
              <w:t xml:space="preserve"> de 20</w:t>
            </w:r>
            <w:r w:rsidR="00DC350A">
              <w:t>2</w:t>
            </w:r>
            <w: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8C2" w14:textId="77777777" w:rsidR="00150C2A" w:rsidRPr="00BF759C" w:rsidRDefault="00150C2A" w:rsidP="00333B4F">
            <w:r w:rsidRPr="00BF759C">
              <w:t>Entrega de TFM y TI al tutor académico</w:t>
            </w:r>
          </w:p>
        </w:tc>
      </w:tr>
      <w:tr w:rsidR="00150C2A" w:rsidRPr="00BF759C" w14:paraId="282A46C0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039" w14:textId="0BFBDD20" w:rsidR="00150C2A" w:rsidRPr="00BF759C" w:rsidRDefault="003C49B2" w:rsidP="00333B4F">
            <w:r>
              <w:t>9</w:t>
            </w:r>
            <w:r w:rsidR="00150C2A" w:rsidRPr="00BF759C">
              <w:t xml:space="preserve"> </w:t>
            </w:r>
            <w:r w:rsidR="00150C2A">
              <w:t>de septiembre</w:t>
            </w:r>
            <w:r w:rsidR="00150C2A" w:rsidRPr="00BF759C">
              <w:t xml:space="preserve"> de 20</w:t>
            </w:r>
            <w:r w:rsidR="00DC350A">
              <w:t>2</w:t>
            </w:r>
            <w:r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D9B" w14:textId="77777777" w:rsidR="00150C2A" w:rsidRPr="00BF759C" w:rsidRDefault="00150C2A" w:rsidP="00333B4F">
            <w:r w:rsidRPr="00BF759C">
              <w:t>Entrega de los tutores académicos al coordinador del máster de la Guía de Evaluación de los TFM y TI</w:t>
            </w:r>
          </w:p>
          <w:p w14:paraId="11E8B9BD" w14:textId="77777777" w:rsidR="00150C2A" w:rsidRPr="00BF759C" w:rsidRDefault="00150C2A" w:rsidP="00333B4F">
            <w:r w:rsidRPr="00BF759C">
              <w:t>Entrega de la versión final del TFM y TI a secretaría del centro y coordinador del máster</w:t>
            </w:r>
          </w:p>
        </w:tc>
      </w:tr>
      <w:tr w:rsidR="00150C2A" w:rsidRPr="00BF759C" w14:paraId="7E414AB6" w14:textId="77777777" w:rsidTr="00333B4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B57" w14:textId="281C672D" w:rsidR="00150C2A" w:rsidRPr="00BF759C" w:rsidRDefault="007D18E2" w:rsidP="00333B4F">
            <w:r>
              <w:t>1</w:t>
            </w:r>
            <w:r w:rsidR="003C49B2">
              <w:t>6</w:t>
            </w:r>
            <w:r w:rsidR="00875136">
              <w:t xml:space="preserve"> y </w:t>
            </w:r>
            <w:r w:rsidR="003C49B2">
              <w:t>17</w:t>
            </w:r>
            <w:r w:rsidR="00150C2A">
              <w:t xml:space="preserve"> de septiembre</w:t>
            </w:r>
            <w:r w:rsidR="00150C2A" w:rsidRPr="00BF759C">
              <w:t xml:space="preserve"> de 20</w:t>
            </w:r>
            <w:r w:rsidR="00E14D8C">
              <w:t>2</w:t>
            </w:r>
            <w:r w:rsidR="003C49B2">
              <w:t>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F69" w14:textId="77777777" w:rsidR="00150C2A" w:rsidRPr="00BF759C" w:rsidRDefault="00150C2A" w:rsidP="00333B4F">
            <w:r w:rsidRPr="00BF759C">
              <w:t xml:space="preserve">Defensa de los TFM y TI ante las comisiones evaluadoras </w:t>
            </w:r>
          </w:p>
        </w:tc>
      </w:tr>
    </w:tbl>
    <w:p w14:paraId="7A96EB0D" w14:textId="49E75B57" w:rsidR="00E81046" w:rsidRDefault="00E81046" w:rsidP="00150C2A"/>
    <w:p w14:paraId="3E24A9F9" w14:textId="77777777" w:rsidR="00C34CBA" w:rsidRPr="00BF759C" w:rsidRDefault="00C34CBA" w:rsidP="00150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5374"/>
      </w:tblGrid>
      <w:tr w:rsidR="00150C2A" w:rsidRPr="00BF759C" w14:paraId="29315B4A" w14:textId="77777777" w:rsidTr="00E14D8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659" w14:textId="275C8E28" w:rsidR="00150C2A" w:rsidRPr="00BF759C" w:rsidRDefault="00150C2A" w:rsidP="00333B4F">
            <w:pPr>
              <w:jc w:val="center"/>
              <w:rPr>
                <w:b/>
              </w:rPr>
            </w:pPr>
            <w:r w:rsidRPr="00BF759C">
              <w:rPr>
                <w:b/>
              </w:rPr>
              <w:t>CONVOCATORIA EXTRAORDINARIA</w:t>
            </w:r>
            <w:r w:rsidR="00F20D67">
              <w:rPr>
                <w:b/>
              </w:rPr>
              <w:t xml:space="preserve"> DICIEMBRE</w:t>
            </w:r>
            <w:r w:rsidR="00C34CBA">
              <w:rPr>
                <w:b/>
              </w:rPr>
              <w:t xml:space="preserve"> 202</w:t>
            </w:r>
            <w:r w:rsidR="003C49B2">
              <w:rPr>
                <w:b/>
              </w:rPr>
              <w:t>4</w:t>
            </w:r>
          </w:p>
        </w:tc>
      </w:tr>
      <w:tr w:rsidR="00150C2A" w:rsidRPr="00BF759C" w14:paraId="2D7E4CFA" w14:textId="77777777" w:rsidTr="00E14D8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03F" w14:textId="77777777" w:rsidR="00150C2A" w:rsidRPr="00BF759C" w:rsidRDefault="00150C2A" w:rsidP="00333B4F">
            <w:r w:rsidRPr="00BF759C">
              <w:t>La Convocatoria extraordinaria se llevará a cabo en el mes de diciembre. Exige cumplir los requisitos establecidos, y supone el pago de los créditos por segunda matriculación</w:t>
            </w:r>
          </w:p>
        </w:tc>
      </w:tr>
      <w:tr w:rsidR="00150C2A" w:rsidRPr="00BF759C" w14:paraId="16456752" w14:textId="77777777" w:rsidTr="00E14D8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F5C" w14:textId="69713C1B" w:rsidR="00150C2A" w:rsidRPr="00BF759C" w:rsidRDefault="00DC350A" w:rsidP="00333B4F">
            <w:r>
              <w:t>1</w:t>
            </w:r>
            <w:r w:rsidR="00685522">
              <w:t>5</w:t>
            </w:r>
            <w:r w:rsidR="00150C2A" w:rsidRPr="00BF759C">
              <w:t xml:space="preserve"> de noviembre de 20</w:t>
            </w:r>
            <w:r>
              <w:t>2</w:t>
            </w:r>
            <w:r w:rsidR="003C49B2"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3A3" w14:textId="77777777" w:rsidR="00150C2A" w:rsidRPr="00BF759C" w:rsidRDefault="00150C2A" w:rsidP="00333B4F">
            <w:r w:rsidRPr="00BF759C">
              <w:t>Entrega de TFM y TI al tutor académico</w:t>
            </w:r>
          </w:p>
        </w:tc>
      </w:tr>
      <w:tr w:rsidR="00150C2A" w:rsidRPr="00BF759C" w14:paraId="0131F85C" w14:textId="77777777" w:rsidTr="00E14D8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39E" w14:textId="1E6EA5F2" w:rsidR="00150C2A" w:rsidRPr="00BF759C" w:rsidRDefault="00125AA0" w:rsidP="00333B4F">
            <w:r>
              <w:t>2</w:t>
            </w:r>
            <w:r w:rsidR="00685522">
              <w:t>8</w:t>
            </w:r>
            <w:r w:rsidR="00150C2A" w:rsidRPr="00BF759C">
              <w:t xml:space="preserve"> de </w:t>
            </w:r>
            <w:r w:rsidR="00DC350A">
              <w:t>nov</w:t>
            </w:r>
            <w:r w:rsidR="00150C2A" w:rsidRPr="00BF759C">
              <w:t>iembre de 20</w:t>
            </w:r>
            <w:r w:rsidR="00DC350A">
              <w:t>2</w:t>
            </w:r>
            <w:r w:rsidR="003C49B2"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265" w14:textId="77777777" w:rsidR="00150C2A" w:rsidRPr="00BF759C" w:rsidRDefault="00150C2A" w:rsidP="00333B4F">
            <w:r w:rsidRPr="00BF759C">
              <w:t>Entrega de la versión final del TFM y TI a secretaría del centro y coordinador del máster</w:t>
            </w:r>
          </w:p>
          <w:p w14:paraId="30EFF90B" w14:textId="77777777" w:rsidR="00150C2A" w:rsidRPr="00BF759C" w:rsidRDefault="00150C2A" w:rsidP="00333B4F">
            <w:r w:rsidRPr="00BF759C">
              <w:t>Entrega de los tutores académicos al coordinador del máster de la Guía de Evaluación de los TFM y TI</w:t>
            </w:r>
          </w:p>
        </w:tc>
      </w:tr>
      <w:tr w:rsidR="00150C2A" w:rsidRPr="00BF759C" w14:paraId="52D2F8D9" w14:textId="77777777" w:rsidTr="00E14D8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155" w14:textId="4272956D" w:rsidR="00150C2A" w:rsidRPr="00BF759C" w:rsidRDefault="005D32C4" w:rsidP="00333B4F">
            <w:r>
              <w:t>1</w:t>
            </w:r>
            <w:r w:rsidR="003C49B2">
              <w:t>2</w:t>
            </w:r>
            <w:r w:rsidR="00150C2A" w:rsidRPr="00BF759C">
              <w:t xml:space="preserve"> de diciembre de 20</w:t>
            </w:r>
            <w:r w:rsidR="00DC350A">
              <w:t>2</w:t>
            </w:r>
            <w:r w:rsidR="003C49B2"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7C3" w14:textId="77777777" w:rsidR="00150C2A" w:rsidRPr="00BF759C" w:rsidRDefault="00150C2A" w:rsidP="00333B4F">
            <w:r w:rsidRPr="00BF759C">
              <w:t xml:space="preserve">Defensa de los TFM y TI ante las comisiones evaluadoras </w:t>
            </w:r>
          </w:p>
        </w:tc>
      </w:tr>
    </w:tbl>
    <w:p w14:paraId="02A181D7" w14:textId="77777777" w:rsidR="00E14D8C" w:rsidRPr="00945DED" w:rsidRDefault="00E14D8C" w:rsidP="00E14D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* Según el Reglamento por el que se regula el Régimen de Evaluación de los alumnos de la</w:t>
      </w:r>
    </w:p>
    <w:p w14:paraId="08FEC2E4" w14:textId="77777777" w:rsidR="00E14D8C" w:rsidRPr="00945DED" w:rsidRDefault="00E14D8C" w:rsidP="00E14D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Universidad de Cádiz, para presentar el TFM en la convocatoria extraordinaria de diciembre es</w:t>
      </w:r>
    </w:p>
    <w:p w14:paraId="308757A2" w14:textId="32299896" w:rsidR="00E14D8C" w:rsidRPr="00945DED" w:rsidRDefault="00E14D8C" w:rsidP="00E14D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necesario: (i) haber estado matriculado en la asignatura TFM en el curso 20</w:t>
      </w:r>
      <w:r w:rsidR="00C34CBA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3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/202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4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; (</w:t>
      </w:r>
      <w:proofErr w:type="spellStart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ii</w:t>
      </w:r>
      <w:proofErr w:type="spellEnd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) estar</w:t>
      </w:r>
    </w:p>
    <w:p w14:paraId="5339B22A" w14:textId="735E8291" w:rsidR="00E14D8C" w:rsidRPr="00945DED" w:rsidRDefault="00E14D8C" w:rsidP="00E14D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matriculado del TFM en el curso 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4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/202</w:t>
      </w:r>
      <w:r w:rsidR="003C49B2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5</w:t>
      </w: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 xml:space="preserve"> y, (</w:t>
      </w:r>
      <w:proofErr w:type="spellStart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iii</w:t>
      </w:r>
      <w:proofErr w:type="spellEnd"/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) que el estudiante solicite expresamente su</w:t>
      </w:r>
    </w:p>
    <w:p w14:paraId="6774DB6C" w14:textId="77777777" w:rsidR="00E14D8C" w:rsidRPr="00945DED" w:rsidRDefault="00E14D8C" w:rsidP="00E14D8C">
      <w:pPr>
        <w:rPr>
          <w:rFonts w:asciiTheme="minorHAnsi" w:hAnsiTheme="minorHAnsi" w:cstheme="minorHAnsi"/>
        </w:rPr>
      </w:pPr>
      <w:r w:rsidRPr="00945DED">
        <w:rPr>
          <w:rFonts w:asciiTheme="minorHAnsi" w:eastAsiaTheme="minorHAnsi" w:hAnsiTheme="minorHAnsi" w:cstheme="minorHAnsi"/>
          <w:sz w:val="20"/>
          <w:szCs w:val="18"/>
          <w:lang w:val="es-ES_tradnl" w:eastAsia="en-US"/>
        </w:rPr>
        <w:t>derecho a examen en la primera quincena de noviembre a través de la Secretaría.</w:t>
      </w:r>
    </w:p>
    <w:p w14:paraId="09129E72" w14:textId="77777777" w:rsidR="00150C2A" w:rsidRPr="00BF759C" w:rsidRDefault="00150C2A" w:rsidP="00150C2A"/>
    <w:p w14:paraId="2A553795" w14:textId="77777777" w:rsidR="005658C5" w:rsidRPr="00E81046" w:rsidRDefault="005658C5" w:rsidP="00E81046">
      <w:pPr>
        <w:jc w:val="center"/>
        <w:rPr>
          <w:b/>
        </w:rPr>
      </w:pPr>
    </w:p>
    <w:sectPr w:rsidR="005658C5" w:rsidRPr="00E81046" w:rsidSect="00502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13B1"/>
    <w:multiLevelType w:val="multilevel"/>
    <w:tmpl w:val="620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74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A"/>
    <w:rsid w:val="00075F15"/>
    <w:rsid w:val="00087DDE"/>
    <w:rsid w:val="000D15E5"/>
    <w:rsid w:val="00125AA0"/>
    <w:rsid w:val="00150C2A"/>
    <w:rsid w:val="001A2540"/>
    <w:rsid w:val="00267DF7"/>
    <w:rsid w:val="003C49B2"/>
    <w:rsid w:val="003C52E2"/>
    <w:rsid w:val="003E1C78"/>
    <w:rsid w:val="0040778B"/>
    <w:rsid w:val="00533EC1"/>
    <w:rsid w:val="005658C5"/>
    <w:rsid w:val="005D32C4"/>
    <w:rsid w:val="005F3827"/>
    <w:rsid w:val="00685141"/>
    <w:rsid w:val="00685522"/>
    <w:rsid w:val="00693614"/>
    <w:rsid w:val="006C5B56"/>
    <w:rsid w:val="00743E9B"/>
    <w:rsid w:val="00766A18"/>
    <w:rsid w:val="007D18E2"/>
    <w:rsid w:val="00875136"/>
    <w:rsid w:val="00977C11"/>
    <w:rsid w:val="009D7A1B"/>
    <w:rsid w:val="009F6F49"/>
    <w:rsid w:val="00A576FC"/>
    <w:rsid w:val="00AA3ABC"/>
    <w:rsid w:val="00AA5BC5"/>
    <w:rsid w:val="00AE38CF"/>
    <w:rsid w:val="00B5677E"/>
    <w:rsid w:val="00BB6F3D"/>
    <w:rsid w:val="00BE3C04"/>
    <w:rsid w:val="00C34CBA"/>
    <w:rsid w:val="00C5459C"/>
    <w:rsid w:val="00D55012"/>
    <w:rsid w:val="00D57D25"/>
    <w:rsid w:val="00D66472"/>
    <w:rsid w:val="00DC350A"/>
    <w:rsid w:val="00DD055B"/>
    <w:rsid w:val="00E14D8C"/>
    <w:rsid w:val="00E81046"/>
    <w:rsid w:val="00EA4679"/>
    <w:rsid w:val="00F20D67"/>
    <w:rsid w:val="00F368E5"/>
    <w:rsid w:val="00F53381"/>
    <w:rsid w:val="00F60A98"/>
    <w:rsid w:val="00F70D0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AD34"/>
  <w15:chartTrackingRefBased/>
  <w15:docId w15:val="{56B19D26-0255-4031-89F1-2846F18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798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75F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encionalumnado.uca.es/wp-content/uploads/2018/05/Reglamento-de-Evaluacion.pdf?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6</cp:revision>
  <dcterms:created xsi:type="dcterms:W3CDTF">2023-05-04T10:55:00Z</dcterms:created>
  <dcterms:modified xsi:type="dcterms:W3CDTF">2023-10-09T13:01:00Z</dcterms:modified>
</cp:coreProperties>
</file>